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70" w:rsidRPr="000413DF" w:rsidRDefault="000413DF" w:rsidP="000413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0413DF" w:rsidRPr="000413DF" w:rsidRDefault="000413DF" w:rsidP="000413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Тема: «Природні умови Італії та виникнення міста Рим».</w:t>
      </w:r>
    </w:p>
    <w:p w:rsidR="000413DF" w:rsidRDefault="000413DF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Хронологія: </w:t>
      </w:r>
      <w:r w:rsidRPr="000413DF">
        <w:rPr>
          <w:rFonts w:ascii="Times New Roman" w:hAnsi="Times New Roman" w:cs="Times New Roman"/>
          <w:sz w:val="28"/>
          <w:szCs w:val="28"/>
          <w:lang w:val="uk-UA"/>
        </w:rPr>
        <w:t xml:space="preserve">753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до н.е., 510 р. до н.е.,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13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н.е.</w:t>
      </w:r>
    </w:p>
    <w:p w:rsidR="000413DF" w:rsidRDefault="000413DF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Терміни: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патриції, плебеї, цар, сенат, республіка.</w:t>
      </w:r>
    </w:p>
    <w:p w:rsidR="000413DF" w:rsidRDefault="000413DF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Д/З: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 44 ст. 170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№1, ст.164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 карти письмово.</w:t>
      </w:r>
    </w:p>
    <w:p w:rsidR="009E7AAA" w:rsidRPr="009E7AAA" w:rsidRDefault="009E7AAA" w:rsidP="000413DF">
      <w:pPr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413DF" w:rsidRPr="000413DF" w:rsidRDefault="000413DF" w:rsidP="000413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«Римська республіка в </w:t>
      </w:r>
      <w:r w:rsidRPr="000413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сер. ІІІ ст. до н.е.»</w:t>
      </w:r>
    </w:p>
    <w:p w:rsidR="000413DF" w:rsidRDefault="000413DF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Хронологія: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265 р. до н.е.</w:t>
      </w:r>
    </w:p>
    <w:p w:rsidR="000413DF" w:rsidRDefault="000413DF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Терміни: </w:t>
      </w:r>
      <w:r>
        <w:rPr>
          <w:rFonts w:ascii="Times New Roman" w:hAnsi="Times New Roman" w:cs="Times New Roman"/>
          <w:sz w:val="28"/>
          <w:szCs w:val="28"/>
          <w:lang w:val="uk-UA"/>
        </w:rPr>
        <w:t>коаліції,магістрати, народні трибуни, консули, експансія «поділяй і володарюй», «Піррова перемога».</w:t>
      </w:r>
    </w:p>
    <w:p w:rsidR="000413DF" w:rsidRDefault="000413DF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Д/З: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 44-45 (3), §46 (1)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ст. 170, 173</w:t>
      </w:r>
    </w:p>
    <w:p w:rsidR="009E7AAA" w:rsidRPr="009E7AAA" w:rsidRDefault="009E7AAA" w:rsidP="000413DF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413DF" w:rsidRDefault="000413DF" w:rsidP="000413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Тема: «Римська республіка в ІІ ст.. до н.е.»</w:t>
      </w:r>
    </w:p>
    <w:p w:rsidR="000413DF" w:rsidRDefault="000413DF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Хронологія: </w:t>
      </w:r>
      <w:r w:rsidR="009E7AAA">
        <w:rPr>
          <w:rFonts w:ascii="Times New Roman" w:hAnsi="Times New Roman" w:cs="Times New Roman"/>
          <w:sz w:val="28"/>
          <w:szCs w:val="28"/>
          <w:lang w:val="uk-UA"/>
        </w:rPr>
        <w:t>264 – 146 рр. до н.е., 216 р. до н.е.</w:t>
      </w:r>
    </w:p>
    <w:p w:rsidR="009E7AAA" w:rsidRDefault="009E7AAA" w:rsidP="009E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Терміни: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провінція, легіон, пунічні війни.</w:t>
      </w:r>
    </w:p>
    <w:p w:rsidR="009E7AAA" w:rsidRDefault="009E7AAA" w:rsidP="009E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AAA">
        <w:rPr>
          <w:rFonts w:ascii="Times New Roman" w:hAnsi="Times New Roman" w:cs="Times New Roman"/>
          <w:b/>
          <w:sz w:val="28"/>
          <w:szCs w:val="28"/>
          <w:lang w:val="uk-UA"/>
        </w:rPr>
        <w:t>Персоналії: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Ганнібал.</w:t>
      </w:r>
    </w:p>
    <w:p w:rsidR="009E7AAA" w:rsidRDefault="009E7AAA" w:rsidP="009E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Д/З: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 46 (2) ст.173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№ 3,4.</w:t>
      </w:r>
    </w:p>
    <w:p w:rsidR="009E7AAA" w:rsidRPr="009E7AAA" w:rsidRDefault="009E7AAA" w:rsidP="009E7AAA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7AAA" w:rsidRDefault="009E7AAA" w:rsidP="009E7A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Релігія, сім</w:t>
      </w:r>
      <w:r w:rsidRPr="009E7AAA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я, виховання і господарство давніх римлян»</w:t>
      </w:r>
    </w:p>
    <w:p w:rsidR="009E7AAA" w:rsidRDefault="009E7AAA" w:rsidP="009E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Терміни: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акведуки, пантеон.</w:t>
      </w:r>
    </w:p>
    <w:p w:rsidR="009E7AAA" w:rsidRDefault="009E7AAA" w:rsidP="009E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Д/З: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 50, ст. 189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AAA" w:rsidRPr="009E7AAA" w:rsidRDefault="009E7AAA" w:rsidP="009E7AAA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7AAA" w:rsidRDefault="009E7AAA" w:rsidP="009E7A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Диктатура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Юлія Цезаря»</w:t>
      </w:r>
    </w:p>
    <w:p w:rsidR="009E7AAA" w:rsidRDefault="009E7AAA" w:rsidP="009E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Хронологія: </w:t>
      </w:r>
      <w:r>
        <w:rPr>
          <w:rFonts w:ascii="Times New Roman" w:hAnsi="Times New Roman" w:cs="Times New Roman"/>
          <w:sz w:val="28"/>
          <w:szCs w:val="28"/>
          <w:lang w:val="uk-UA"/>
        </w:rPr>
        <w:t>74 р. до н.е., 49 р. до н.е., 44 р. до н.е.</w:t>
      </w:r>
    </w:p>
    <w:p w:rsidR="009E7AAA" w:rsidRDefault="009E7AAA" w:rsidP="009E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Терміни: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гладіатор, перейти Рубікон, «жереб кинуто», громадянська війна, імператор.</w:t>
      </w:r>
    </w:p>
    <w:p w:rsidR="009E7AAA" w:rsidRDefault="009E7AAA" w:rsidP="009E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Д/З: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 47 ст.179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№ 1-5.</w:t>
      </w:r>
    </w:p>
    <w:p w:rsidR="009E7AAA" w:rsidRDefault="009E7AAA" w:rsidP="009E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7AAA" w:rsidRDefault="009E7AAA" w:rsidP="009E7A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 Історичний портрет Юлія Цезаря»</w:t>
      </w:r>
    </w:p>
    <w:p w:rsidR="009E7AAA" w:rsidRDefault="009E7AAA" w:rsidP="009E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Д/З: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ст.179 «обговорюємо в групах», «мислю творчо».</w:t>
      </w:r>
    </w:p>
    <w:p w:rsidR="009E7AAA" w:rsidRPr="009E7AAA" w:rsidRDefault="009E7AAA" w:rsidP="009E7AAA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9E7AAA" w:rsidRPr="009E7AAA" w:rsidSect="000413DF">
      <w:type w:val="continuous"/>
      <w:pgSz w:w="11906" w:h="16838"/>
      <w:pgMar w:top="567" w:right="346" w:bottom="227" w:left="448" w:header="142" w:footer="0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0413DF"/>
    <w:rsid w:val="000413DF"/>
    <w:rsid w:val="00787167"/>
    <w:rsid w:val="009D2FB9"/>
    <w:rsid w:val="009E7AAA"/>
    <w:rsid w:val="00B26F70"/>
    <w:rsid w:val="00BD5D6E"/>
    <w:rsid w:val="00D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2020-04-08T06:57:00Z</dcterms:created>
  <dcterms:modified xsi:type="dcterms:W3CDTF">2020-04-08T07:17:00Z</dcterms:modified>
</cp:coreProperties>
</file>